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27EEE6" w14:textId="1DC47DAC" w:rsidR="00654E8F" w:rsidRDefault="00654E8F" w:rsidP="0001436A">
      <w:pPr>
        <w:pStyle w:val="SupplementaryMaterial"/>
      </w:pPr>
      <w:r w:rsidRPr="001549D3">
        <w:t xml:space="preserve">Supplementary </w:t>
      </w:r>
      <w:r w:rsidR="00B70932">
        <w:t>Figures</w:t>
      </w:r>
    </w:p>
    <w:p w14:paraId="30F16C3C" w14:textId="5F34E993" w:rsidR="0007613B" w:rsidRPr="0007613B" w:rsidRDefault="0007613B" w:rsidP="001D6CAA">
      <w:pPr>
        <w:pStyle w:val="Titel"/>
      </w:pPr>
      <w:r>
        <w:rPr>
          <w:noProof/>
          <w:lang w:val="de-DE" w:eastAsia="de-DE"/>
        </w:rPr>
        <w:drawing>
          <wp:anchor distT="0" distB="0" distL="114300" distR="114300" simplePos="0" relativeHeight="251658240" behindDoc="0" locked="0" layoutInCell="1" allowOverlap="1" wp14:anchorId="6B9924CB" wp14:editId="18CD609C">
            <wp:simplePos x="0" y="0"/>
            <wp:positionH relativeFrom="column">
              <wp:posOffset>-71755</wp:posOffset>
            </wp:positionH>
            <wp:positionV relativeFrom="paragraph">
              <wp:posOffset>522605</wp:posOffset>
            </wp:positionV>
            <wp:extent cx="5759450" cy="2686050"/>
            <wp:effectExtent l="0" t="0" r="6350" b="6350"/>
            <wp:wrapTopAndBottom/>
            <wp:docPr id="2" name="Bild 2" descr="/Volumes/Labor/Dateien Revision CAR T Clinical and Translational Medicine/Zusammenstellung  final/Abb. final /Supplementary Fig. S1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Volumes/Labor/Dateien Revision CAR T Clinical and Translational Medicine/Zusammenstellung  final/Abb. final /Supplementary Fig. S1_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E196DF" w14:textId="7EC17866" w:rsidR="00994A3D" w:rsidRPr="002B4A57" w:rsidRDefault="00994A3D" w:rsidP="0026510C">
      <w:pPr>
        <w:keepNext/>
        <w:jc w:val="both"/>
        <w:rPr>
          <w:rFonts w:cs="Times New Roman"/>
          <w:b/>
          <w:szCs w:val="24"/>
        </w:rPr>
      </w:pPr>
      <w:r w:rsidRPr="0001436A">
        <w:rPr>
          <w:rFonts w:cs="Times New Roman"/>
          <w:b/>
          <w:szCs w:val="24"/>
        </w:rPr>
        <w:t xml:space="preserve">Supplementary Figure </w:t>
      </w:r>
      <w:r w:rsidR="001D6CAA">
        <w:rPr>
          <w:rFonts w:cs="Times New Roman"/>
          <w:b/>
          <w:szCs w:val="24"/>
        </w:rPr>
        <w:t>S</w:t>
      </w:r>
      <w:r w:rsidRPr="0001436A">
        <w:rPr>
          <w:rFonts w:cs="Times New Roman"/>
          <w:b/>
          <w:szCs w:val="24"/>
        </w:rPr>
        <w:fldChar w:fldCharType="begin"/>
      </w:r>
      <w:r w:rsidRPr="0001436A">
        <w:rPr>
          <w:rFonts w:cs="Times New Roman"/>
          <w:b/>
          <w:szCs w:val="24"/>
        </w:rPr>
        <w:instrText xml:space="preserve"> SEQ Figure \* ARABIC </w:instrText>
      </w:r>
      <w:r w:rsidRPr="0001436A">
        <w:rPr>
          <w:rFonts w:cs="Times New Roman"/>
          <w:b/>
          <w:szCs w:val="24"/>
        </w:rPr>
        <w:fldChar w:fldCharType="separate"/>
      </w:r>
      <w:r w:rsidR="00ED20B5">
        <w:rPr>
          <w:rFonts w:cs="Times New Roman"/>
          <w:b/>
          <w:noProof/>
          <w:szCs w:val="24"/>
        </w:rPr>
        <w:t>1</w:t>
      </w:r>
      <w:r w:rsidRPr="0001436A">
        <w:rPr>
          <w:rFonts w:cs="Times New Roman"/>
          <w:b/>
          <w:szCs w:val="24"/>
        </w:rPr>
        <w:fldChar w:fldCharType="end"/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 w:rsidR="0007613B" w:rsidRPr="009232AE">
        <w:rPr>
          <w:lang w:val="en"/>
        </w:rPr>
        <w:t xml:space="preserve">Phenotype characterization of CAR and </w:t>
      </w:r>
      <w:proofErr w:type="spellStart"/>
      <w:r w:rsidR="0007613B" w:rsidRPr="009232AE">
        <w:rPr>
          <w:lang w:val="en"/>
        </w:rPr>
        <w:t>untransduced</w:t>
      </w:r>
      <w:proofErr w:type="spellEnd"/>
      <w:r w:rsidR="0007613B" w:rsidRPr="009232AE">
        <w:rPr>
          <w:lang w:val="en"/>
        </w:rPr>
        <w:t xml:space="preserve"> T-cells.</w:t>
      </w:r>
      <w:r w:rsidR="0007613B">
        <w:rPr>
          <w:b/>
          <w:lang w:val="en"/>
        </w:rPr>
        <w:t xml:space="preserve"> </w:t>
      </w:r>
      <w:r w:rsidR="0007613B">
        <w:rPr>
          <w:bCs/>
          <w:lang w:val="en"/>
        </w:rPr>
        <w:t xml:space="preserve">MACS-enriched CAR and </w:t>
      </w:r>
      <w:proofErr w:type="spellStart"/>
      <w:r w:rsidR="0007613B">
        <w:rPr>
          <w:bCs/>
          <w:lang w:val="en"/>
        </w:rPr>
        <w:t>untransduced</w:t>
      </w:r>
      <w:proofErr w:type="spellEnd"/>
      <w:r w:rsidR="0007613B">
        <w:rPr>
          <w:bCs/>
          <w:lang w:val="en"/>
        </w:rPr>
        <w:t xml:space="preserve"> T-cells were flow </w:t>
      </w:r>
      <w:proofErr w:type="spellStart"/>
      <w:r w:rsidR="0007613B">
        <w:rPr>
          <w:bCs/>
          <w:lang w:val="en"/>
        </w:rPr>
        <w:t>cytometrically</w:t>
      </w:r>
      <w:proofErr w:type="spellEnd"/>
      <w:r w:rsidR="0007613B">
        <w:rPr>
          <w:bCs/>
          <w:lang w:val="en"/>
        </w:rPr>
        <w:t xml:space="preserve"> analyzed for (A) helper (CD4), cytotoxic (CD8), (B) central memory (CM, CD62L+ CD45RO+) and effector memory (EM, CD62L- CD45RO+) phenotype. Percentage values are represented as mean ± SEM.</w:t>
      </w:r>
    </w:p>
    <w:p w14:paraId="4870438F" w14:textId="068F0F2C" w:rsidR="00ED2D10" w:rsidRDefault="00ED2D10">
      <w:pPr>
        <w:spacing w:before="0" w:after="200" w:line="276" w:lineRule="auto"/>
      </w:pPr>
      <w:r>
        <w:br w:type="page"/>
      </w:r>
    </w:p>
    <w:p w14:paraId="0538CCD0" w14:textId="01E111A0" w:rsidR="007E57BA" w:rsidRDefault="00ED2D10" w:rsidP="007760B6">
      <w:pPr>
        <w:spacing w:before="240"/>
        <w:jc w:val="both"/>
        <w:rPr>
          <w:lang w:val="en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659264" behindDoc="0" locked="0" layoutInCell="1" allowOverlap="1" wp14:anchorId="6CB53467" wp14:editId="5C93A5A5">
            <wp:simplePos x="0" y="0"/>
            <wp:positionH relativeFrom="column">
              <wp:posOffset>20955</wp:posOffset>
            </wp:positionH>
            <wp:positionV relativeFrom="paragraph">
              <wp:posOffset>163195</wp:posOffset>
            </wp:positionV>
            <wp:extent cx="5760720" cy="6521450"/>
            <wp:effectExtent l="0" t="0" r="5080" b="6350"/>
            <wp:wrapTopAndBottom/>
            <wp:docPr id="5" name="Bild 5" descr="../Dateien%20Revision%20CAR%20T%20Clinical%20and%20Translational%20Medicine/Zusammenstellung%20%20final/Abb.%20final%20/Supplementary%2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Dateien%20Revision%20CAR%20T%20Clinical%20and%20Translational%20Medicine/Zusammenstellung%20%20final/Abb.%20final%20/Supplementary%20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2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6CAA" w:rsidRPr="0001436A">
        <w:rPr>
          <w:rFonts w:cs="Times New Roman"/>
          <w:b/>
          <w:szCs w:val="24"/>
        </w:rPr>
        <w:t xml:space="preserve">Supplementary Figure </w:t>
      </w:r>
      <w:r w:rsidR="001D6CAA">
        <w:rPr>
          <w:rFonts w:cs="Times New Roman"/>
          <w:b/>
          <w:szCs w:val="24"/>
        </w:rPr>
        <w:t>S</w:t>
      </w:r>
      <w:r w:rsidR="001D6CAA" w:rsidRPr="0001436A">
        <w:rPr>
          <w:rFonts w:cs="Times New Roman"/>
          <w:b/>
          <w:szCs w:val="24"/>
        </w:rPr>
        <w:fldChar w:fldCharType="begin"/>
      </w:r>
      <w:r w:rsidR="001D6CAA" w:rsidRPr="0001436A">
        <w:rPr>
          <w:rFonts w:cs="Times New Roman"/>
          <w:b/>
          <w:szCs w:val="24"/>
        </w:rPr>
        <w:instrText xml:space="preserve"> SEQ Figure \* ARABIC </w:instrText>
      </w:r>
      <w:r w:rsidR="001D6CAA" w:rsidRPr="0001436A">
        <w:rPr>
          <w:rFonts w:cs="Times New Roman"/>
          <w:b/>
          <w:szCs w:val="24"/>
        </w:rPr>
        <w:fldChar w:fldCharType="separate"/>
      </w:r>
      <w:r w:rsidR="001D6CAA">
        <w:rPr>
          <w:rFonts w:cs="Times New Roman"/>
          <w:b/>
          <w:noProof/>
          <w:szCs w:val="24"/>
        </w:rPr>
        <w:t>2</w:t>
      </w:r>
      <w:r w:rsidR="001D6CAA" w:rsidRPr="0001436A">
        <w:rPr>
          <w:rFonts w:cs="Times New Roman"/>
          <w:b/>
          <w:szCs w:val="24"/>
        </w:rPr>
        <w:fldChar w:fldCharType="end"/>
      </w:r>
      <w:r w:rsidR="001D6CAA" w:rsidRPr="0001436A">
        <w:rPr>
          <w:rFonts w:cs="Times New Roman"/>
          <w:b/>
          <w:szCs w:val="24"/>
        </w:rPr>
        <w:t>.</w:t>
      </w:r>
      <w:r w:rsidR="001D6CAA" w:rsidRPr="001549D3">
        <w:rPr>
          <w:rFonts w:cs="Times New Roman"/>
          <w:szCs w:val="24"/>
        </w:rPr>
        <w:t xml:space="preserve"> </w:t>
      </w:r>
      <w:r w:rsidR="001D6CAA" w:rsidRPr="00557A20">
        <w:rPr>
          <w:lang w:val="en"/>
        </w:rPr>
        <w:t xml:space="preserve">Validation experiments for experimental setup. (A) To determine the assay of choice for measuring CAR T-cell induced cytotoxicity results of viability assay (left panel) were compared with flow cytometry measurements (right panel). </w:t>
      </w:r>
      <w:r w:rsidR="001D6CAA" w:rsidRPr="00F52BE0">
        <w:rPr>
          <w:lang w:val="en"/>
        </w:rPr>
        <w:t>Graphs</w:t>
      </w:r>
      <w:r w:rsidR="001D6CAA" w:rsidRPr="000C5C98">
        <w:rPr>
          <w:lang w:val="en"/>
        </w:rPr>
        <w:t xml:space="preserve"> depict the mean values (±SD) </w:t>
      </w:r>
      <w:r w:rsidR="001D6CAA">
        <w:rPr>
          <w:lang w:val="en"/>
        </w:rPr>
        <w:t>for percentage of lysed cells</w:t>
      </w:r>
      <w:r w:rsidR="001D6CAA" w:rsidRPr="000C5C98">
        <w:rPr>
          <w:lang w:val="en"/>
        </w:rPr>
        <w:t xml:space="preserve">. Black rhombus </w:t>
      </w:r>
      <w:r w:rsidR="001D6CAA">
        <w:rPr>
          <w:lang w:val="en"/>
        </w:rPr>
        <w:t xml:space="preserve">represents </w:t>
      </w:r>
      <w:proofErr w:type="spellStart"/>
      <w:r w:rsidR="001D6CAA">
        <w:rPr>
          <w:lang w:val="en"/>
        </w:rPr>
        <w:t>untransduced</w:t>
      </w:r>
      <w:proofErr w:type="spellEnd"/>
      <w:r w:rsidR="001D6CAA">
        <w:rPr>
          <w:lang w:val="en"/>
        </w:rPr>
        <w:t xml:space="preserve"> control, </w:t>
      </w:r>
      <w:r w:rsidR="001D6CAA" w:rsidRPr="000C5C98">
        <w:rPr>
          <w:lang w:val="en"/>
        </w:rPr>
        <w:t xml:space="preserve">white square symbols represent the values </w:t>
      </w:r>
      <w:r w:rsidR="001D6CAA">
        <w:rPr>
          <w:lang w:val="en"/>
        </w:rPr>
        <w:t xml:space="preserve">CD19 controls, orange circle values for </w:t>
      </w:r>
      <w:r w:rsidR="0056587F">
        <w:rPr>
          <w:lang w:val="en"/>
        </w:rPr>
        <w:t>EGFR</w:t>
      </w:r>
      <w:bookmarkStart w:id="0" w:name="_GoBack"/>
      <w:bookmarkEnd w:id="0"/>
      <w:r w:rsidR="001D6CAA">
        <w:rPr>
          <w:lang w:val="en"/>
        </w:rPr>
        <w:t xml:space="preserve"> CAR. (B) To check for any effects of residual ROM on depicted CAR T- cells, ROM pretreated RT112 were either washed (green triangle) or not washed (orange circle) prior to co-culture with CAR T-cells. DMSO treated controls were handled likewise (white square and black rhombus). </w:t>
      </w:r>
      <w:r w:rsidR="001D6CAA" w:rsidRPr="007751F5">
        <w:rPr>
          <w:lang w:val="en"/>
        </w:rPr>
        <w:t>Graphs depict the mean values (±SD) for percentage of lysed cells</w:t>
      </w:r>
      <w:r w:rsidR="001D6CAA">
        <w:rPr>
          <w:lang w:val="en"/>
        </w:rPr>
        <w:t xml:space="preserve">. </w:t>
      </w:r>
      <w:r w:rsidR="001D6CAA" w:rsidRPr="007751F5">
        <w:rPr>
          <w:lang w:val="en"/>
        </w:rPr>
        <w:t xml:space="preserve"> </w:t>
      </w:r>
    </w:p>
    <w:p w14:paraId="61337FA7" w14:textId="5B566A80" w:rsidR="0026510C" w:rsidRPr="008E7468" w:rsidRDefault="008E7468" w:rsidP="008E7468">
      <w:pPr>
        <w:spacing w:before="0"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de-DE" w:eastAsia="de-DE"/>
        </w:rPr>
        <w:lastRenderedPageBreak/>
        <w:drawing>
          <wp:anchor distT="0" distB="0" distL="114300" distR="114300" simplePos="0" relativeHeight="251662336" behindDoc="0" locked="0" layoutInCell="1" allowOverlap="1" wp14:anchorId="3A95A553" wp14:editId="01EF55A8">
            <wp:simplePos x="0" y="0"/>
            <wp:positionH relativeFrom="column">
              <wp:posOffset>490921</wp:posOffset>
            </wp:positionH>
            <wp:positionV relativeFrom="paragraph">
              <wp:posOffset>591</wp:posOffset>
            </wp:positionV>
            <wp:extent cx="4687200" cy="6631200"/>
            <wp:effectExtent l="0" t="0" r="0" b="0"/>
            <wp:wrapTopAndBottom/>
            <wp:docPr id="3" name="Bild 3" descr="Supplementary%20Figure%20S3_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pplementary%20Figure%20S3_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200" cy="66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33CC" w:rsidRPr="0001436A">
        <w:rPr>
          <w:rFonts w:cs="Times New Roman"/>
          <w:b/>
          <w:szCs w:val="24"/>
        </w:rPr>
        <w:t xml:space="preserve">Supplementary Figure </w:t>
      </w:r>
      <w:r w:rsidR="005333CC">
        <w:rPr>
          <w:rFonts w:cs="Times New Roman"/>
          <w:b/>
          <w:szCs w:val="24"/>
        </w:rPr>
        <w:t>S</w:t>
      </w:r>
      <w:r w:rsidR="005333CC" w:rsidRPr="0001436A">
        <w:rPr>
          <w:rFonts w:cs="Times New Roman"/>
          <w:b/>
          <w:szCs w:val="24"/>
        </w:rPr>
        <w:fldChar w:fldCharType="begin"/>
      </w:r>
      <w:r w:rsidR="005333CC" w:rsidRPr="0001436A">
        <w:rPr>
          <w:rFonts w:cs="Times New Roman"/>
          <w:b/>
          <w:szCs w:val="24"/>
        </w:rPr>
        <w:instrText xml:space="preserve"> SEQ Figure \* ARABIC </w:instrText>
      </w:r>
      <w:r w:rsidR="005333CC" w:rsidRPr="0001436A">
        <w:rPr>
          <w:rFonts w:cs="Times New Roman"/>
          <w:b/>
          <w:szCs w:val="24"/>
        </w:rPr>
        <w:fldChar w:fldCharType="separate"/>
      </w:r>
      <w:r w:rsidR="005333CC">
        <w:rPr>
          <w:rFonts w:cs="Times New Roman"/>
          <w:b/>
          <w:noProof/>
          <w:szCs w:val="24"/>
        </w:rPr>
        <w:t>3</w:t>
      </w:r>
      <w:r w:rsidR="005333CC" w:rsidRPr="0001436A">
        <w:rPr>
          <w:rFonts w:cs="Times New Roman"/>
          <w:b/>
          <w:szCs w:val="24"/>
        </w:rPr>
        <w:fldChar w:fldCharType="end"/>
      </w:r>
      <w:r w:rsidR="005333CC" w:rsidRPr="0001436A">
        <w:rPr>
          <w:rFonts w:cs="Times New Roman"/>
          <w:b/>
          <w:szCs w:val="24"/>
        </w:rPr>
        <w:t>.</w:t>
      </w:r>
      <w:r w:rsidR="005333CC">
        <w:rPr>
          <w:rFonts w:cs="Times New Roman"/>
          <w:b/>
          <w:szCs w:val="24"/>
        </w:rPr>
        <w:t xml:space="preserve"> </w:t>
      </w:r>
      <w:r w:rsidR="005333CC" w:rsidRPr="001549D3">
        <w:rPr>
          <w:rFonts w:cs="Times New Roman"/>
          <w:szCs w:val="24"/>
        </w:rPr>
        <w:t xml:space="preserve"> </w:t>
      </w:r>
      <w:r w:rsidR="00D16435">
        <w:rPr>
          <w:rFonts w:cs="Times New Roman"/>
          <w:szCs w:val="24"/>
        </w:rPr>
        <w:t xml:space="preserve">CAR T-cell cytotoxicity and cytokine secretion against UM-UC-3 and BFTC905 spheroids. 100 </w:t>
      </w:r>
      <w:proofErr w:type="spellStart"/>
      <w:r w:rsidR="00D16435">
        <w:rPr>
          <w:rFonts w:cs="Times New Roman"/>
          <w:szCs w:val="24"/>
        </w:rPr>
        <w:t>nM</w:t>
      </w:r>
      <w:proofErr w:type="spellEnd"/>
      <w:r w:rsidR="00D16435">
        <w:rPr>
          <w:rFonts w:cs="Times New Roman"/>
          <w:szCs w:val="24"/>
        </w:rPr>
        <w:t xml:space="preserve"> DEC (black) and DSMO (grey) pretreated </w:t>
      </w:r>
      <w:r w:rsidR="00D16435">
        <w:rPr>
          <w:lang w:val="en"/>
        </w:rPr>
        <w:t>UM-UC-3 and BFTC905 cells were seeded</w:t>
      </w:r>
      <w:r w:rsidR="00D16435" w:rsidRPr="00102D1E">
        <w:rPr>
          <w:rFonts w:eastAsia="Times New Roman"/>
          <w:color w:val="000000"/>
          <w:shd w:val="clear" w:color="auto" w:fill="FFFFFF"/>
          <w:lang w:val="en"/>
        </w:rPr>
        <w:t xml:space="preserve"> in ultra-low attachment U-bottom 96-well plates</w:t>
      </w:r>
      <w:r w:rsidR="00D16435">
        <w:rPr>
          <w:rFonts w:eastAsia="Times New Roman"/>
          <w:color w:val="000000"/>
          <w:shd w:val="clear" w:color="auto" w:fill="FFFFFF"/>
          <w:lang w:val="en"/>
        </w:rPr>
        <w:t xml:space="preserve">. After overnight spheroid formation, </w:t>
      </w:r>
      <w:r w:rsidR="00D16435">
        <w:rPr>
          <w:lang w:val="en"/>
        </w:rPr>
        <w:t xml:space="preserve">CD19-, EGFR- or CD44v6 CAR T-cells or </w:t>
      </w:r>
      <w:proofErr w:type="spellStart"/>
      <w:r w:rsidR="00D16435">
        <w:rPr>
          <w:lang w:val="en"/>
        </w:rPr>
        <w:t>untransduced</w:t>
      </w:r>
      <w:proofErr w:type="spellEnd"/>
      <w:r w:rsidR="00D16435">
        <w:rPr>
          <w:lang w:val="en"/>
        </w:rPr>
        <w:t xml:space="preserve"> T-cells were added and cells were co-cultured for 16 h. Subsequently, (A) lysis was determined by </w:t>
      </w:r>
      <w:proofErr w:type="spellStart"/>
      <w:r w:rsidR="00D16435">
        <w:rPr>
          <w:lang w:val="en"/>
        </w:rPr>
        <w:t>CellTiter-Glo</w:t>
      </w:r>
      <w:proofErr w:type="spellEnd"/>
      <w:r w:rsidR="00D16435">
        <w:rPr>
          <w:lang w:val="en"/>
        </w:rPr>
        <w:t xml:space="preserve">® 3D Viability assay and (B) </w:t>
      </w:r>
      <w:proofErr w:type="spellStart"/>
      <w:r w:rsidR="00D16435">
        <w:rPr>
          <w:lang w:val="en"/>
        </w:rPr>
        <w:t>Granzyme</w:t>
      </w:r>
      <w:proofErr w:type="spellEnd"/>
      <w:r w:rsidR="00D16435">
        <w:rPr>
          <w:lang w:val="en"/>
        </w:rPr>
        <w:t xml:space="preserve"> B, TNF-alpha and GM-CSF secretion of the 1:1 ratio by </w:t>
      </w:r>
      <w:proofErr w:type="spellStart"/>
      <w:r w:rsidR="00D16435">
        <w:rPr>
          <w:lang w:val="en"/>
        </w:rPr>
        <w:t>MACSPlex</w:t>
      </w:r>
      <w:proofErr w:type="spellEnd"/>
      <w:r w:rsidR="00D16435">
        <w:rPr>
          <w:lang w:val="en"/>
        </w:rPr>
        <w:t xml:space="preserve"> Cytotoxic T/NK  cell assay. Graphs depict mean </w:t>
      </w:r>
      <w:r w:rsidR="00D16435" w:rsidRPr="00D16435">
        <w:rPr>
          <w:lang w:val="en"/>
        </w:rPr>
        <w:t>values</w:t>
      </w:r>
      <w:r w:rsidR="00D16435" w:rsidRPr="00D16435">
        <w:rPr>
          <w:rFonts w:cs="Times New Roman"/>
          <w:szCs w:val="24"/>
        </w:rPr>
        <w:t xml:space="preserve"> </w:t>
      </w:r>
      <w:r w:rsidR="00D16435" w:rsidRPr="00D16435">
        <w:rPr>
          <w:lang w:val="en"/>
        </w:rPr>
        <w:t>±SEM from</w:t>
      </w:r>
      <w:r w:rsidR="00D16435" w:rsidRPr="000C5C98">
        <w:rPr>
          <w:lang w:val="en"/>
        </w:rPr>
        <w:t xml:space="preserve"> at least three independent experiments.</w:t>
      </w:r>
    </w:p>
    <w:p w14:paraId="097351DF" w14:textId="72A7F93A" w:rsidR="007760B6" w:rsidRDefault="0026510C" w:rsidP="0026510C">
      <w:pPr>
        <w:keepNext/>
        <w:jc w:val="both"/>
        <w:rPr>
          <w:lang w:val="en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660288" behindDoc="0" locked="0" layoutInCell="1" allowOverlap="1" wp14:anchorId="1607F7CA" wp14:editId="23C878F9">
            <wp:simplePos x="0" y="0"/>
            <wp:positionH relativeFrom="column">
              <wp:posOffset>-73660</wp:posOffset>
            </wp:positionH>
            <wp:positionV relativeFrom="page">
              <wp:posOffset>677545</wp:posOffset>
            </wp:positionV>
            <wp:extent cx="5139690" cy="7325360"/>
            <wp:effectExtent l="0" t="0" r="0" b="0"/>
            <wp:wrapTopAndBottom/>
            <wp:docPr id="8" name="Bild 8" descr="../Dateien%20Revision%20CAR%20T%20Clinical%20and%20Translational%20Medicine/Zusammenstellung%20%20final/Abb.%20final%20/Supplementary%2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Dateien%20Revision%20CAR%20T%20Clinical%20and%20Translational%20Medicine/Zusammenstellung%20%20final/Abb.%20final%20/Supplementary%20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73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436A"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</w:rPr>
        <w:t>S</w:t>
      </w:r>
      <w:r w:rsidR="007E57BA">
        <w:rPr>
          <w:rFonts w:cs="Times New Roman"/>
          <w:b/>
          <w:szCs w:val="24"/>
        </w:rPr>
        <w:t>4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rPr>
          <w:lang w:val="en"/>
        </w:rPr>
        <w:t xml:space="preserve">DEC induced differential gene expression determined by RNA sequencing. (A) </w:t>
      </w:r>
      <w:r w:rsidRPr="000C5C98">
        <w:rPr>
          <w:lang w:val="en"/>
        </w:rPr>
        <w:t xml:space="preserve">Number of statistical significantly differentially expressed genes </w:t>
      </w:r>
      <w:r>
        <w:rPr>
          <w:lang w:val="en"/>
        </w:rPr>
        <w:t xml:space="preserve">seven days after treatment with DEC </w:t>
      </w:r>
      <w:r w:rsidRPr="000C5C98">
        <w:rPr>
          <w:lang w:val="en"/>
        </w:rPr>
        <w:t>compared to DMSO controls. As a cut-off we applied ≥ 1.5 fold-change and p ≤0.05 after Bonferroni adjustment.</w:t>
      </w:r>
      <w:r>
        <w:rPr>
          <w:lang w:val="en"/>
        </w:rPr>
        <w:t xml:space="preserve"> (B) </w:t>
      </w:r>
      <w:r w:rsidRPr="000C5C98">
        <w:rPr>
          <w:lang w:val="en"/>
        </w:rPr>
        <w:t xml:space="preserve">Commonly altered genes between the two cell lines were identified by Venn diagram analysis using the online tool </w:t>
      </w:r>
      <w:proofErr w:type="spellStart"/>
      <w:r w:rsidRPr="000C5C98">
        <w:rPr>
          <w:lang w:val="en"/>
        </w:rPr>
        <w:t>Venny</w:t>
      </w:r>
      <w:proofErr w:type="spellEnd"/>
      <w:r w:rsidRPr="000C5C98">
        <w:rPr>
          <w:lang w:val="en"/>
        </w:rPr>
        <w:t xml:space="preserve"> 2.0 </w:t>
      </w:r>
      <w:r>
        <w:rPr>
          <w:lang w:val="en"/>
        </w:rPr>
        <w:fldChar w:fldCharType="begin"/>
      </w:r>
      <w:r>
        <w:rPr>
          <w:lang w:val="en"/>
        </w:rPr>
        <w:instrText xml:space="preserve"> ADDIN EN.CITE &lt;EndNote&gt;&lt;Cite&gt;&lt;Author&gt;Oliveros&lt;/Author&gt;&lt;Year&gt;2007-2015&lt;/Year&gt;&lt;RecNum&gt;179&lt;/RecNum&gt;&lt;DisplayText&gt;&lt;style face="superscript"&gt;33&lt;/style&gt;&lt;/DisplayText&gt;&lt;record&gt;&lt;rec-number&gt;179&lt;/rec-number&gt;&lt;foreign-keys&gt;&lt;key app="EN" db-id="p2e525zpwr20wpe2swbpss0fepesfwpzxzfs" timestamp="1596177222"&gt;179&lt;/key&gt;&lt;/foreign-keys&gt;&lt;ref-type name="Journal Article"&gt;17&lt;/ref-type&gt;&lt;contributors&gt;&lt;authors&gt;&lt;author&gt;Oliveros, J.C.&lt;/author&gt;&lt;/authors&gt;&lt;/contributors&gt;&lt;titles&gt;&lt;title&gt;Venny. An interactive tool for comparing lists with Venn’s diagrams.&lt;/title&gt;&lt;/titles&gt;&lt;dates&gt;&lt;year&gt;2007-2015&lt;/year&gt;&lt;/dates&gt;&lt;urls&gt;&lt;/urls&gt;&lt;/record&gt;&lt;/Cite&gt;&lt;/EndNote&gt;</w:instrText>
      </w:r>
      <w:r>
        <w:rPr>
          <w:lang w:val="en"/>
        </w:rPr>
        <w:fldChar w:fldCharType="separate"/>
      </w:r>
      <w:r w:rsidRPr="00F86AB4">
        <w:rPr>
          <w:noProof/>
          <w:vertAlign w:val="superscript"/>
          <w:lang w:val="en"/>
        </w:rPr>
        <w:t>33</w:t>
      </w:r>
      <w:r>
        <w:rPr>
          <w:lang w:val="en"/>
        </w:rPr>
        <w:fldChar w:fldCharType="end"/>
      </w:r>
      <w:r>
        <w:rPr>
          <w:lang w:val="en"/>
        </w:rPr>
        <w:t xml:space="preserve">. (C) </w:t>
      </w:r>
      <w:r w:rsidRPr="000C5C98">
        <w:rPr>
          <w:lang w:val="en"/>
        </w:rPr>
        <w:t xml:space="preserve">RPKM expression of immune response related genes in untreated and DEC treated BFTC905 and UM-UC-3 cells displayed </w:t>
      </w:r>
      <w:r w:rsidRPr="000C5C98">
        <w:rPr>
          <w:lang w:val="en"/>
        </w:rPr>
        <w:lastRenderedPageBreak/>
        <w:t xml:space="preserve">as </w:t>
      </w:r>
      <w:proofErr w:type="spellStart"/>
      <w:r w:rsidRPr="000C5C98">
        <w:rPr>
          <w:lang w:val="en"/>
        </w:rPr>
        <w:t>heatmap</w:t>
      </w:r>
      <w:proofErr w:type="spellEnd"/>
      <w:r w:rsidRPr="000C5C98">
        <w:rPr>
          <w:lang w:val="en"/>
        </w:rPr>
        <w:t>. Gene lists were downloaded from the Broad Institute GSEA gene sets database [</w:t>
      </w:r>
      <w:hyperlink r:id="rId12" w:history="1">
        <w:r w:rsidRPr="000C5C98">
          <w:rPr>
            <w:lang w:val="en"/>
          </w:rPr>
          <w:t>https://www.gsea-msigdb.org/gsea/msigdb/genesets.jsp?collection=CP:KEGG</w:t>
        </w:r>
      </w:hyperlink>
      <w:r w:rsidRPr="000C5C98">
        <w:rPr>
          <w:lang w:val="en"/>
        </w:rPr>
        <w:t>]: GO:0070098~chemokine-mediated signaling pathway, GO:0002548~monocyte chemotaxis, GO:0071356~cellular response to tumor necrosis factor, GO:0048247~lymphocyte chemotaxis, GO:0071346~cellular response to interferon-gamma, GO:0034097~response to cytokine, GO:0042113~B cell activation, GO:0006935~chemotaxis, GO:0071347~cellular response to interleukin-1. Green colored boxes indicate low expression and red colored boxes indicate high expression. Genes with expression out of range are marked in yellow.</w:t>
      </w:r>
    </w:p>
    <w:p w14:paraId="5CD5A513" w14:textId="0B2AA1B9" w:rsidR="00DA1E35" w:rsidRPr="00DA1E35" w:rsidRDefault="007760B6" w:rsidP="00DA1E35">
      <w:pPr>
        <w:spacing w:before="0" w:after="200" w:line="276" w:lineRule="auto"/>
        <w:rPr>
          <w:lang w:val="en"/>
        </w:rPr>
      </w:pPr>
      <w:r>
        <w:rPr>
          <w:lang w:val="en"/>
        </w:rPr>
        <w:br w:type="page"/>
      </w:r>
    </w:p>
    <w:p w14:paraId="61059C8B" w14:textId="77585B62" w:rsidR="00131582" w:rsidRPr="002B4A57" w:rsidRDefault="00131582" w:rsidP="00131582">
      <w:pPr>
        <w:keepNext/>
        <w:jc w:val="both"/>
        <w:rPr>
          <w:rFonts w:cs="Times New Roman"/>
          <w:b/>
          <w:szCs w:val="24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661312" behindDoc="0" locked="0" layoutInCell="1" allowOverlap="1" wp14:anchorId="25495906" wp14:editId="4551A089">
            <wp:simplePos x="0" y="0"/>
            <wp:positionH relativeFrom="column">
              <wp:posOffset>383540</wp:posOffset>
            </wp:positionH>
            <wp:positionV relativeFrom="paragraph">
              <wp:posOffset>5715</wp:posOffset>
            </wp:positionV>
            <wp:extent cx="5760720" cy="7821930"/>
            <wp:effectExtent l="0" t="0" r="5080" b="1270"/>
            <wp:wrapTopAndBottom/>
            <wp:docPr id="9" name="Bild 9" descr="../Dateien%20Revision%20CAR%20T%20Clinical%20and%20Translational%20Medicine/Zusammenstellung%20%20final/Abb.%20final%20/Supplementary%2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Dateien%20Revision%20CAR%20T%20Clinical%20and%20Translational%20Medicine/Zusammenstellung%20%20final/Abb.%20final%20/Supplementary%20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2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436A"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</w:rPr>
        <w:t>S</w:t>
      </w:r>
      <w:r w:rsidR="007E57BA">
        <w:rPr>
          <w:rFonts w:cs="Times New Roman"/>
          <w:b/>
          <w:szCs w:val="24"/>
        </w:rPr>
        <w:t>5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proofErr w:type="spellStart"/>
      <w:r w:rsidR="00D0620C" w:rsidRPr="000C5C98">
        <w:rPr>
          <w:lang w:val="en"/>
        </w:rPr>
        <w:t>Heatmap</w:t>
      </w:r>
      <w:proofErr w:type="spellEnd"/>
      <w:r w:rsidR="00D0620C" w:rsidRPr="000C5C98">
        <w:rPr>
          <w:lang w:val="en"/>
        </w:rPr>
        <w:t xml:space="preserve"> display of differential gene expression between untreated and </w:t>
      </w:r>
      <w:proofErr w:type="spellStart"/>
      <w:r w:rsidR="00D0620C">
        <w:rPr>
          <w:lang w:val="en"/>
        </w:rPr>
        <w:t>epidrug</w:t>
      </w:r>
      <w:proofErr w:type="spellEnd"/>
      <w:r w:rsidR="00D0620C">
        <w:rPr>
          <w:lang w:val="en"/>
        </w:rPr>
        <w:t xml:space="preserve"> </w:t>
      </w:r>
      <w:r w:rsidR="00D0620C" w:rsidRPr="000C5C98">
        <w:rPr>
          <w:lang w:val="en"/>
        </w:rPr>
        <w:t xml:space="preserve">treated </w:t>
      </w:r>
      <w:r w:rsidR="00D0620C">
        <w:rPr>
          <w:lang w:val="en"/>
        </w:rPr>
        <w:t>UCC</w:t>
      </w:r>
      <w:r w:rsidR="00D0620C" w:rsidRPr="000C5C98">
        <w:rPr>
          <w:lang w:val="en"/>
        </w:rPr>
        <w:t xml:space="preserve"> with regard to survival and apoptosis signaling. </w:t>
      </w:r>
      <w:r w:rsidR="00D0620C">
        <w:rPr>
          <w:lang w:val="en"/>
        </w:rPr>
        <w:t xml:space="preserve">Differentially expressed genes </w:t>
      </w:r>
      <w:r w:rsidR="00D0620C">
        <w:rPr>
          <w:lang w:val="en"/>
        </w:rPr>
        <w:lastRenderedPageBreak/>
        <w:t xml:space="preserve">after indicated treatment (fold-change ≥1.5) </w:t>
      </w:r>
      <w:r w:rsidR="00D0620C" w:rsidRPr="000C5C98">
        <w:rPr>
          <w:lang w:val="en"/>
        </w:rPr>
        <w:t xml:space="preserve">were checked for abundance in gene lists downloaded from GSEA gene set database associated with PI3K-AKT (A) and apoptosis signaling (B): HALLMARK APOPTOSIS, REACTOME EXTRINSIC PATHWAY FOR APOPTOSIS, INDUCTION OF APOPTOSIS BY EXTRACELLULAR SIGNALS, INDUCTION OF APOPTOSIS BY INTRACELLULAR SIGNALS, HALLMARK PI3K AKT MTOR SIGNALING. </w:t>
      </w:r>
      <w:r w:rsidR="00D0620C">
        <w:rPr>
          <w:lang w:val="en"/>
        </w:rPr>
        <w:t xml:space="preserve">Fold change expression values </w:t>
      </w:r>
      <w:r w:rsidR="00D0620C" w:rsidRPr="000C5C98">
        <w:rPr>
          <w:lang w:val="en"/>
        </w:rPr>
        <w:t xml:space="preserve">were displayed as a </w:t>
      </w:r>
      <w:proofErr w:type="spellStart"/>
      <w:r w:rsidR="00D0620C" w:rsidRPr="000C5C98">
        <w:rPr>
          <w:lang w:val="en"/>
        </w:rPr>
        <w:t>heatmap</w:t>
      </w:r>
      <w:proofErr w:type="spellEnd"/>
      <w:r w:rsidR="00D0620C" w:rsidRPr="000C5C98">
        <w:rPr>
          <w:lang w:val="en"/>
        </w:rPr>
        <w:t xml:space="preserve"> with green colored boxes indicating low expression and red colored boxes indicating high expression. Genes with expression out of range are marked in yellow. </w:t>
      </w:r>
      <w:r w:rsidR="00D0620C">
        <w:rPr>
          <w:lang w:val="en"/>
        </w:rPr>
        <w:t>D</w:t>
      </w:r>
      <w:r w:rsidR="00D0620C" w:rsidRPr="003C479D">
        <w:rPr>
          <w:lang w:val="en"/>
        </w:rPr>
        <w:t xml:space="preserve">ifferentially expressed genes in UM-UC-3 and VM-CUB1 cells after treatment with 3 </w:t>
      </w:r>
      <w:proofErr w:type="spellStart"/>
      <w:r w:rsidR="00D0620C" w:rsidRPr="003C479D">
        <w:rPr>
          <w:lang w:val="en"/>
        </w:rPr>
        <w:t>nM</w:t>
      </w:r>
      <w:proofErr w:type="spellEnd"/>
      <w:r w:rsidR="00D0620C" w:rsidRPr="003C479D">
        <w:rPr>
          <w:lang w:val="en"/>
        </w:rPr>
        <w:t xml:space="preserve"> ROM for 72 h</w:t>
      </w:r>
      <w:r w:rsidR="00D0620C">
        <w:rPr>
          <w:lang w:val="en"/>
        </w:rPr>
        <w:t xml:space="preserve"> from our previous study (</w:t>
      </w:r>
      <w:r w:rsidR="00D0620C" w:rsidRPr="000C5C98">
        <w:rPr>
          <w:lang w:val="en"/>
        </w:rPr>
        <w:t>GEO accession GSE70120</w:t>
      </w:r>
      <w:r w:rsidR="00D0620C">
        <w:rPr>
          <w:lang w:val="en"/>
        </w:rPr>
        <w:t>) were included for direct comparison</w:t>
      </w:r>
      <w:r w:rsidR="00D0620C" w:rsidRPr="003C479D">
        <w:rPr>
          <w:lang w:val="en"/>
        </w:rPr>
        <w:t>.</w:t>
      </w:r>
    </w:p>
    <w:p w14:paraId="083C8A34" w14:textId="755061D9" w:rsidR="001D6CAA" w:rsidRPr="001549D3" w:rsidRDefault="001D6CAA" w:rsidP="00654E8F">
      <w:pPr>
        <w:spacing w:before="240"/>
      </w:pPr>
    </w:p>
    <w:sectPr w:rsidR="001D6CAA" w:rsidRPr="001549D3" w:rsidSect="0093429D">
      <w:headerReference w:type="even" r:id="rId14"/>
      <w:footerReference w:type="even" r:id="rId15"/>
      <w:footerReference w:type="default" r:id="rId16"/>
      <w:headerReference w:type="first" r:id="rId1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94FDB2" w14:textId="77777777" w:rsidR="00D060CF" w:rsidRDefault="00D060CF" w:rsidP="00117666">
      <w:pPr>
        <w:spacing w:after="0"/>
      </w:pPr>
      <w:r>
        <w:separator/>
      </w:r>
    </w:p>
  </w:endnote>
  <w:endnote w:type="continuationSeparator" w:id="0">
    <w:p w14:paraId="14E0830A" w14:textId="77777777" w:rsidR="00D060CF" w:rsidRDefault="00D060CF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50165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501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56587F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0,0l0,21600,21600,21600,21600,0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9.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B56471">
                      <w:rPr>
                        <w:noProof/>
                        <w:color w:val="000000" w:themeColor="text1"/>
                        <w:szCs w:val="40"/>
                      </w:rPr>
                      <w:t>6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501650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501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56587F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0,0l0,21600,21600,21600,21600,0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9.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B56471">
                      <w:rPr>
                        <w:noProof/>
                        <w:color w:val="000000" w:themeColor="text1"/>
                        <w:szCs w:val="40"/>
                      </w:rPr>
                      <w:t>7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709C91" w14:textId="77777777" w:rsidR="00D060CF" w:rsidRDefault="00D060CF" w:rsidP="00117666">
      <w:pPr>
        <w:spacing w:after="0"/>
      </w:pPr>
      <w:r>
        <w:separator/>
      </w:r>
    </w:p>
  </w:footnote>
  <w:footnote w:type="continuationSeparator" w:id="0">
    <w:p w14:paraId="5BACC2C0" w14:textId="77777777" w:rsidR="00D060CF" w:rsidRDefault="00D060CF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val="de-DE" w:eastAsia="de-DE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C0601A"/>
    <w:multiLevelType w:val="multilevel"/>
    <w:tmpl w:val="2D740DBE"/>
    <w:styleLink w:val="Headings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>
    <w:nsid w:val="225305B5"/>
    <w:multiLevelType w:val="hybridMultilevel"/>
    <w:tmpl w:val="4F8C24FA"/>
    <w:lvl w:ilvl="0" w:tplc="A9DCD718">
      <w:start w:val="1"/>
      <w:numFmt w:val="bullet"/>
      <w:pStyle w:val="Listenabsatz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20B5"/>
    <w:rsid w:val="0001436A"/>
    <w:rsid w:val="00027C0A"/>
    <w:rsid w:val="00034304"/>
    <w:rsid w:val="00035434"/>
    <w:rsid w:val="00052A14"/>
    <w:rsid w:val="0007613B"/>
    <w:rsid w:val="00077D53"/>
    <w:rsid w:val="00105FD9"/>
    <w:rsid w:val="00117666"/>
    <w:rsid w:val="00131582"/>
    <w:rsid w:val="001549D3"/>
    <w:rsid w:val="00160065"/>
    <w:rsid w:val="00177D84"/>
    <w:rsid w:val="001D6CAA"/>
    <w:rsid w:val="0026510C"/>
    <w:rsid w:val="00267D18"/>
    <w:rsid w:val="00274347"/>
    <w:rsid w:val="002868E2"/>
    <w:rsid w:val="002869C3"/>
    <w:rsid w:val="002936E4"/>
    <w:rsid w:val="002B4A57"/>
    <w:rsid w:val="002C74CA"/>
    <w:rsid w:val="003123F4"/>
    <w:rsid w:val="003544FB"/>
    <w:rsid w:val="003D2F2D"/>
    <w:rsid w:val="00401590"/>
    <w:rsid w:val="00447801"/>
    <w:rsid w:val="00452E9C"/>
    <w:rsid w:val="004735C8"/>
    <w:rsid w:val="004947A6"/>
    <w:rsid w:val="004961FF"/>
    <w:rsid w:val="004D5F0E"/>
    <w:rsid w:val="00517A89"/>
    <w:rsid w:val="005250F2"/>
    <w:rsid w:val="005333CC"/>
    <w:rsid w:val="0056587F"/>
    <w:rsid w:val="00593EEA"/>
    <w:rsid w:val="005A5EEE"/>
    <w:rsid w:val="005B07E1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760B6"/>
    <w:rsid w:val="00790BB3"/>
    <w:rsid w:val="007C206C"/>
    <w:rsid w:val="007E57BA"/>
    <w:rsid w:val="00817DD6"/>
    <w:rsid w:val="0083759F"/>
    <w:rsid w:val="00885156"/>
    <w:rsid w:val="008E3AE7"/>
    <w:rsid w:val="008E7468"/>
    <w:rsid w:val="009151AA"/>
    <w:rsid w:val="0093429D"/>
    <w:rsid w:val="00943573"/>
    <w:rsid w:val="00964134"/>
    <w:rsid w:val="00970F7D"/>
    <w:rsid w:val="00994A3D"/>
    <w:rsid w:val="009C2B12"/>
    <w:rsid w:val="00A174D9"/>
    <w:rsid w:val="00A6177E"/>
    <w:rsid w:val="00AA4D24"/>
    <w:rsid w:val="00AB6715"/>
    <w:rsid w:val="00B1671E"/>
    <w:rsid w:val="00B25EB8"/>
    <w:rsid w:val="00B37F4D"/>
    <w:rsid w:val="00B56471"/>
    <w:rsid w:val="00B70932"/>
    <w:rsid w:val="00B764C9"/>
    <w:rsid w:val="00C52A7B"/>
    <w:rsid w:val="00C56BAF"/>
    <w:rsid w:val="00C679AA"/>
    <w:rsid w:val="00C75972"/>
    <w:rsid w:val="00CD066B"/>
    <w:rsid w:val="00CE4FEE"/>
    <w:rsid w:val="00D060CF"/>
    <w:rsid w:val="00D0620C"/>
    <w:rsid w:val="00D16435"/>
    <w:rsid w:val="00D52958"/>
    <w:rsid w:val="00DA1E35"/>
    <w:rsid w:val="00DB59C3"/>
    <w:rsid w:val="00DC259A"/>
    <w:rsid w:val="00DE23E8"/>
    <w:rsid w:val="00E41994"/>
    <w:rsid w:val="00E52377"/>
    <w:rsid w:val="00E537AD"/>
    <w:rsid w:val="00E64E17"/>
    <w:rsid w:val="00E866C9"/>
    <w:rsid w:val="00EA3D3C"/>
    <w:rsid w:val="00EC090A"/>
    <w:rsid w:val="00ED20B5"/>
    <w:rsid w:val="00ED2D10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berschrift1">
    <w:name w:val="heading 1"/>
    <w:basedOn w:val="Listenabsatz"/>
    <w:next w:val="Standard"/>
    <w:link w:val="berschrift1Zchn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berschrift2">
    <w:name w:val="heading 2"/>
    <w:basedOn w:val="berschrift1"/>
    <w:next w:val="Standard"/>
    <w:link w:val="berschrift2Zchn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berschrift3">
    <w:name w:val="heading 3"/>
    <w:basedOn w:val="Standard"/>
    <w:next w:val="Standard"/>
    <w:link w:val="berschrift3Zchn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berschrift4">
    <w:name w:val="heading 4"/>
    <w:basedOn w:val="berschrift3"/>
    <w:next w:val="Standard"/>
    <w:link w:val="berschrift4Zchn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berschrift5">
    <w:name w:val="heading 5"/>
    <w:basedOn w:val="berschrift4"/>
    <w:next w:val="Standard"/>
    <w:link w:val="berschrift5Zchn"/>
    <w:uiPriority w:val="2"/>
    <w:qFormat/>
    <w:rsid w:val="00AB6715"/>
    <w:pPr>
      <w:numPr>
        <w:ilvl w:val="4"/>
      </w:numPr>
      <w:outlineLvl w:val="4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Untertitel">
    <w:name w:val="Subtitle"/>
    <w:basedOn w:val="Standard"/>
    <w:next w:val="Standard"/>
    <w:link w:val="UntertitelZchn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UntertitelZchn">
    <w:name w:val="Untertitel Zchn"/>
    <w:basedOn w:val="Absatz-Standardschriftart"/>
    <w:link w:val="Untertitel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Untertitel"/>
    <w:next w:val="Standard"/>
    <w:uiPriority w:val="1"/>
    <w:qFormat/>
    <w:rsid w:val="00AB671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uchtitel">
    <w:name w:val="Book Title"/>
    <w:basedOn w:val="Absatz-Standardschriftar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Beschriftung">
    <w:name w:val="caption"/>
    <w:basedOn w:val="Standard"/>
    <w:next w:val="KeinLeerraum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KeinLeerraum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B671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B671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B671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AB6715"/>
    <w:rPr>
      <w:rFonts w:ascii="Times New Roman" w:hAnsi="Times New Roman"/>
      <w:i/>
      <w:iCs/>
    </w:rPr>
  </w:style>
  <w:style w:type="character" w:styleId="Endnotenzeichen">
    <w:name w:val="end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AB6715"/>
    <w:rPr>
      <w:rFonts w:ascii="Times New Roman" w:hAnsi="Times New Roman"/>
      <w:sz w:val="24"/>
    </w:rPr>
  </w:style>
  <w:style w:type="character" w:styleId="Funotenzeichen">
    <w:name w:val="foot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KopfzeileZchn">
    <w:name w:val="Kopfzeile Zchn"/>
    <w:basedOn w:val="Absatz-Standardschriftart"/>
    <w:link w:val="Kopfzeile"/>
    <w:uiPriority w:val="99"/>
    <w:rsid w:val="00AB6715"/>
    <w:rPr>
      <w:rFonts w:ascii="Times New Roman" w:hAnsi="Times New Roman"/>
      <w:b/>
      <w:sz w:val="24"/>
    </w:rPr>
  </w:style>
  <w:style w:type="paragraph" w:styleId="Listenabsatz">
    <w:name w:val="List Paragraph"/>
    <w:basedOn w:val="Standard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Link">
    <w:name w:val="Hyperlink"/>
    <w:basedOn w:val="Absatz-Standardschriftart"/>
    <w:uiPriority w:val="99"/>
    <w:unhideWhenUsed/>
    <w:rsid w:val="00AB6715"/>
    <w:rPr>
      <w:color w:val="0000FF"/>
      <w:u w:val="single"/>
    </w:rPr>
  </w:style>
  <w:style w:type="character" w:styleId="Intensivhervorheb">
    <w:name w:val="Intense Emphasis"/>
    <w:basedOn w:val="Absatz-Standardschriftar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iverVerweis">
    <w:name w:val="Intense Reference"/>
    <w:basedOn w:val="Absatz-Standardschriftart"/>
    <w:uiPriority w:val="32"/>
    <w:qFormat/>
    <w:rsid w:val="00AB6715"/>
    <w:rPr>
      <w:b/>
      <w:bCs/>
      <w:smallCaps/>
      <w:color w:val="auto"/>
      <w:spacing w:val="5"/>
    </w:rPr>
  </w:style>
  <w:style w:type="character" w:styleId="Zeilennummer">
    <w:name w:val="line number"/>
    <w:basedOn w:val="Absatz-Standardschriftart"/>
    <w:uiPriority w:val="99"/>
    <w:semiHidden/>
    <w:unhideWhenUsed/>
    <w:rsid w:val="00AB6715"/>
  </w:style>
  <w:style w:type="character" w:customStyle="1" w:styleId="berschrift3Zchn">
    <w:name w:val="Überschrift 3 Zchn"/>
    <w:basedOn w:val="Absatz-Standardschriftart"/>
    <w:link w:val="berschrift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Fett">
    <w:name w:val="Strong"/>
    <w:basedOn w:val="Absatz-Standardschriftart"/>
    <w:uiPriority w:val="22"/>
    <w:qFormat/>
    <w:rsid w:val="00AB6715"/>
    <w:rPr>
      <w:rFonts w:ascii="Times New Roman" w:hAnsi="Times New Roman"/>
      <w:b/>
      <w:bCs/>
    </w:rPr>
  </w:style>
  <w:style w:type="character" w:styleId="Schwachhervorheb">
    <w:name w:val="Subtle Emphasis"/>
    <w:basedOn w:val="Absatz-Standardschriftar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ellenraster">
    <w:name w:val="Table Grid"/>
    <w:basedOn w:val="NormaleTabelle"/>
    <w:uiPriority w:val="59"/>
    <w:rsid w:val="00AB6715"/>
    <w:pPr>
      <w:spacing w:after="0" w:line="240" w:lineRule="auto"/>
    </w:pPr>
    <w:rPr>
      <w:rFonts w:asciiTheme="majorHAnsi" w:hAnsiTheme="maj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el">
    <w:name w:val="Title"/>
    <w:basedOn w:val="Standard"/>
    <w:next w:val="Standard"/>
    <w:link w:val="TitelZchn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elZchn">
    <w:name w:val="Titel Zchn"/>
    <w:basedOn w:val="Absatz-Standardschriftart"/>
    <w:link w:val="Titel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el"/>
    <w:next w:val="Titel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hyperlink" Target="https://www.gsea-msigdb.org/gsea/msigdb/genesets.jsp?collection=CP:KEGG" TargetMode="External"/><Relationship Id="rId13" Type="http://schemas.openxmlformats.org/officeDocument/2006/relationships/image" Target="media/image5.jpeg"/><Relationship Id="rId14" Type="http://schemas.openxmlformats.org/officeDocument/2006/relationships/header" Target="header1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header" Target="header2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46E90D91-DF56-6F4B-BB95-974B267EE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C:\Users\joshua.stocco\Documents\Templates\Frontiers_Word_Templates\Supplementary_Material.dotx</Template>
  <TotalTime>0</TotalTime>
  <Pages>7</Pages>
  <Words>659</Words>
  <Characters>4153</Characters>
  <Application>Microsoft Macintosh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Camilla Grunewald</cp:lastModifiedBy>
  <cp:revision>2</cp:revision>
  <cp:lastPrinted>2013-10-03T12:51:00Z</cp:lastPrinted>
  <dcterms:created xsi:type="dcterms:W3CDTF">2021-11-10T16:17:00Z</dcterms:created>
  <dcterms:modified xsi:type="dcterms:W3CDTF">2021-11-10T16:17:00Z</dcterms:modified>
</cp:coreProperties>
</file>